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060"/>
      </w:tblGrid>
      <w:tr>
        <w:trPr>
          <w:trHeight w:val="1" w:hRule="atLeast"/>
          <w:jc w:val="left"/>
        </w:trPr>
        <w:tc>
          <w:tcPr>
            <w:tcW w:w="9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Nom EES         : Université Ibn Khaldoun de Tiaret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Département : Biologie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SYLLABUS DE LA MATIERE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(à publier dans le site Web de l’institution)</w:t>
            </w: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Symptomatologie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19"/>
        <w:gridCol w:w="2587"/>
        <w:gridCol w:w="1433"/>
        <w:gridCol w:w="1544"/>
        <w:gridCol w:w="992"/>
        <w:gridCol w:w="985"/>
      </w:tblGrid>
      <w:tr>
        <w:trPr>
          <w:trHeight w:val="547" w:hRule="auto"/>
          <w:jc w:val="left"/>
        </w:trPr>
        <w:tc>
          <w:tcPr>
            <w:tcW w:w="410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ENSEIGNANT DU COURS MAGISTRAL</w:t>
            </w:r>
          </w:p>
        </w:tc>
        <w:tc>
          <w:tcPr>
            <w:tcW w:w="49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Mr BOUDRA Abdellatif</w:t>
            </w:r>
          </w:p>
        </w:tc>
      </w:tr>
      <w:tr>
        <w:trPr>
          <w:trHeight w:val="1" w:hRule="atLeast"/>
          <w:jc w:val="left"/>
        </w:trPr>
        <w:tc>
          <w:tcPr>
            <w:tcW w:w="410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Réception des étudiants par semaine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Email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afboudra@gmail.com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Lund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Tél de bureau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Tél secrétariat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Autre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0674804965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Bâtiment :        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Pav 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 :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>
        <w:trPr>
          <w:trHeight w:val="1" w:hRule="atLeast"/>
          <w:jc w:val="left"/>
        </w:trPr>
        <w:tc>
          <w:tcPr>
            <w:tcW w:w="92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TRAVAUX DIRIGES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(Réception des étudiants par semaine)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Bureau/salle réception</w:t>
            </w:r>
          </w:p>
        </w:tc>
        <w:tc>
          <w:tcPr>
            <w:tcW w:w="17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>
        <w:trPr>
          <w:trHeight w:val="1" w:hRule="atLeast"/>
          <w:jc w:val="left"/>
        </w:trPr>
        <w:tc>
          <w:tcPr>
            <w:tcW w:w="92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TRAVAUX PRATIQUES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(Réception des étudiants par semaine)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Bureau/salle réception</w:t>
            </w:r>
          </w:p>
        </w:tc>
        <w:tc>
          <w:tcPr>
            <w:tcW w:w="17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47"/>
        <w:gridCol w:w="6513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DESCRIPTIF DU COURS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Objectif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Reconnaître les signes et les symptômes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 désordres des différents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systèmes du corps hum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Unité Enseignement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Fondamentale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Contenu succinct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Tableaux cliniques pour chaque maladie 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Crédits de la matière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Coefficient de la matière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Pondération Participation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Continu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 - Examen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Pondération Assiduité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Continu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 - Examen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Calcul Moyenne C.C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Continu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 - Examen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Compétences visées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Microbiologie Générale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Physiologie,Physiopathologie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Anatomie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EVALUATION DES CONTROLES CONTINUS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PREMIER CONTROLE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Durée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 autorisé (Oui, Non)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Barème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Echange après évaluation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(date Consult. copie)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Critères évaluation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Lundi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Oui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Pts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</w:tr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DEUXIEME CONTROLE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Durée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 autorisé (Oui, Non)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Barème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Echange après évaluation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(date consultation copies)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Critères évaluation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</w:t>
            </w:r>
          </w:p>
        </w:tc>
      </w:tr>
    </w:tbl>
    <w:p>
      <w:pPr>
        <w:numPr>
          <w:ilvl w:val="0"/>
          <w:numId w:val="1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 : E=écrit, EI=exposé individuel, EC=exposé en classe, EX=expérimentation, QCM</w:t>
      </w:r>
    </w:p>
    <w:p>
      <w:pPr>
        <w:numPr>
          <w:ilvl w:val="0"/>
          <w:numId w:val="1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Critères évaluation :A=Analyse, S=synthèse,AR=argumentation, D=démarche, R=résultats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22"/>
        <w:gridCol w:w="6938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EQUIPEMENTS ET MATERIELS UTILISES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Adresses Plateformes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Moodle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Applications (Web, réseau local)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 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laboratoires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protection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sorties sur le terrain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371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LES ATTENTES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Attendues des étudiants (Participation-implication)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Bonne  assimilation du module sur le plan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héorique  et pratique par les étudiants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Attentes de l’enseignant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 familiariser avec l'étiologie et la pathologie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 ces désordres et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appliquer la pratique du diagnostic différentiel 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371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BIBLIOGRAPHIE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Livres et ressources numériques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Articles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-Grunebaum E, Malatzky-Goshen E, Shoenfeld 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Natural killer cells and autoimmuProjection of an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Immunol Res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1989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Sites Web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https://drepanoclic.fr/p/symptome-ou-pathologie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aigue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Cachet humide du département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object w:dxaOrig="1624" w:dyaOrig="1839">
          <v:rect xmlns:o="urn:schemas-microsoft-com:office:office" xmlns:v="urn:schemas-microsoft-com:vml" id="rectole0000000000" style="width:81.200000pt;height:91.9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numbering.xml" Id="docRId3" Type="http://schemas.openxmlformats.org/officeDocument/2006/relationships/numbering"/><Relationship TargetMode="External" Target="https://drepanoclic.fr/p/symptome-ou-pathologie" Id="docRId0" Type="http://schemas.openxmlformats.org/officeDocument/2006/relationships/hyperlink"/><Relationship Target="media/image0.wmf" Id="docRId2" Type="http://schemas.openxmlformats.org/officeDocument/2006/relationships/image"/><Relationship Target="styles.xml" Id="docRId4" Type="http://schemas.openxmlformats.org/officeDocument/2006/relationships/styles"/></Relationships>
</file>